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895" w:rsidRDefault="00364895" w:rsidP="000C1C7A">
      <w:pPr>
        <w:numPr>
          <w:ilvl w:val="0"/>
          <w:numId w:val="1"/>
        </w:numPr>
        <w:tabs>
          <w:tab w:val="clear" w:pos="720"/>
          <w:tab w:val="num" w:pos="360"/>
        </w:tabs>
        <w:spacing w:before="240"/>
        <w:ind w:left="360" w:right="142"/>
        <w:jc w:val="both"/>
        <w:rPr>
          <w:rFonts w:ascii="Arial" w:hAnsi="Arial" w:cs="Arial"/>
          <w:bCs/>
          <w:spacing w:val="-3"/>
          <w:sz w:val="22"/>
          <w:szCs w:val="22"/>
        </w:rPr>
      </w:pPr>
      <w:bookmarkStart w:id="0" w:name="_GoBack"/>
      <w:bookmarkEnd w:id="0"/>
      <w:r>
        <w:rPr>
          <w:rFonts w:ascii="Arial" w:hAnsi="Arial" w:cs="Arial"/>
          <w:bCs/>
          <w:spacing w:val="-3"/>
          <w:sz w:val="22"/>
          <w:szCs w:val="22"/>
        </w:rPr>
        <w:t>The Wa</w:t>
      </w:r>
      <w:r w:rsidR="00D229D2">
        <w:rPr>
          <w:rFonts w:ascii="Arial" w:hAnsi="Arial" w:cs="Arial"/>
          <w:bCs/>
          <w:spacing w:val="-3"/>
          <w:sz w:val="22"/>
          <w:szCs w:val="22"/>
        </w:rPr>
        <w:t>ter Amendment Regulation (No.</w:t>
      </w:r>
      <w:r w:rsidR="000C1C7A">
        <w:rPr>
          <w:rFonts w:ascii="Arial" w:hAnsi="Arial" w:cs="Arial"/>
          <w:bCs/>
          <w:spacing w:val="-3"/>
          <w:sz w:val="22"/>
          <w:szCs w:val="22"/>
        </w:rPr>
        <w:t xml:space="preserve"> </w:t>
      </w:r>
      <w:r w:rsidR="00D229D2">
        <w:rPr>
          <w:rFonts w:ascii="Arial" w:hAnsi="Arial" w:cs="Arial"/>
          <w:bCs/>
          <w:spacing w:val="-3"/>
          <w:sz w:val="22"/>
          <w:szCs w:val="22"/>
        </w:rPr>
        <w:t>1</w:t>
      </w:r>
      <w:r>
        <w:rPr>
          <w:rFonts w:ascii="Arial" w:hAnsi="Arial" w:cs="Arial"/>
          <w:bCs/>
          <w:spacing w:val="-3"/>
          <w:sz w:val="22"/>
          <w:szCs w:val="22"/>
        </w:rPr>
        <w:t>) 2012 was prepared to provide for the implementation of the levy on petroleum tenure holders to fund the underground water management functions currently aligned to the Queensland Water Commission (the Commission).</w:t>
      </w:r>
    </w:p>
    <w:p w:rsidR="00364895" w:rsidRDefault="00364895" w:rsidP="000C1C7A">
      <w:pPr>
        <w:numPr>
          <w:ilvl w:val="0"/>
          <w:numId w:val="1"/>
        </w:numPr>
        <w:tabs>
          <w:tab w:val="clear" w:pos="720"/>
          <w:tab w:val="num" w:pos="360"/>
        </w:tabs>
        <w:spacing w:before="240"/>
        <w:ind w:left="360" w:right="142"/>
        <w:jc w:val="both"/>
        <w:rPr>
          <w:rFonts w:ascii="Arial" w:hAnsi="Arial" w:cs="Arial"/>
          <w:bCs/>
          <w:spacing w:val="-3"/>
          <w:sz w:val="22"/>
          <w:szCs w:val="22"/>
        </w:rPr>
      </w:pPr>
      <w:r>
        <w:rPr>
          <w:rFonts w:ascii="Arial" w:hAnsi="Arial" w:cs="Arial"/>
          <w:bCs/>
          <w:spacing w:val="-3"/>
          <w:sz w:val="22"/>
          <w:szCs w:val="22"/>
        </w:rPr>
        <w:t xml:space="preserve">The underground water management functions of the Commission are described in </w:t>
      </w:r>
      <w:r>
        <w:rPr>
          <w:rFonts w:ascii="Arial" w:hAnsi="Arial" w:cs="Arial"/>
          <w:bCs/>
          <w:spacing w:val="-3"/>
          <w:sz w:val="22"/>
          <w:szCs w:val="22"/>
        </w:rPr>
        <w:br/>
        <w:t xml:space="preserve">Chapter 3 of the </w:t>
      </w:r>
      <w:r w:rsidRPr="004C1023">
        <w:rPr>
          <w:rFonts w:ascii="Arial" w:hAnsi="Arial" w:cs="Arial"/>
          <w:bCs/>
          <w:i/>
          <w:spacing w:val="-3"/>
          <w:sz w:val="22"/>
          <w:szCs w:val="22"/>
        </w:rPr>
        <w:t>Water Act 2000</w:t>
      </w:r>
      <w:r>
        <w:rPr>
          <w:rFonts w:ascii="Arial" w:hAnsi="Arial" w:cs="Arial"/>
          <w:bCs/>
          <w:spacing w:val="-3"/>
          <w:sz w:val="22"/>
          <w:szCs w:val="22"/>
        </w:rPr>
        <w:t>.</w:t>
      </w:r>
    </w:p>
    <w:p w:rsidR="00364895" w:rsidRPr="00D94958" w:rsidRDefault="00364895" w:rsidP="000C1C7A">
      <w:pPr>
        <w:numPr>
          <w:ilvl w:val="0"/>
          <w:numId w:val="1"/>
        </w:numPr>
        <w:tabs>
          <w:tab w:val="clear" w:pos="720"/>
          <w:tab w:val="num" w:pos="360"/>
        </w:tabs>
        <w:spacing w:before="240"/>
        <w:ind w:left="360" w:right="142"/>
        <w:jc w:val="both"/>
        <w:rPr>
          <w:rFonts w:ascii="Arial" w:hAnsi="Arial" w:cs="Arial"/>
          <w:bCs/>
          <w:spacing w:val="-3"/>
          <w:sz w:val="22"/>
          <w:szCs w:val="22"/>
        </w:rPr>
      </w:pPr>
      <w:r>
        <w:rPr>
          <w:rFonts w:ascii="Arial" w:hAnsi="Arial" w:cs="Arial"/>
          <w:sz w:val="22"/>
          <w:szCs w:val="22"/>
        </w:rPr>
        <w:t xml:space="preserve">The levy will provide for the recovery of seed funding provided by the Queensland Government to the Commission in the 2010-11 ($3.32 million) and 2011-12 </w:t>
      </w:r>
      <w:r>
        <w:rPr>
          <w:rFonts w:ascii="Arial" w:hAnsi="Arial" w:cs="Arial"/>
          <w:sz w:val="22"/>
          <w:szCs w:val="22"/>
        </w:rPr>
        <w:br/>
        <w:t>($4.52 million) financial years to fund the underground water management functions of the Commission.</w:t>
      </w:r>
    </w:p>
    <w:p w:rsidR="00364895" w:rsidRPr="00D94958" w:rsidRDefault="00364895" w:rsidP="000C1C7A">
      <w:pPr>
        <w:numPr>
          <w:ilvl w:val="0"/>
          <w:numId w:val="1"/>
        </w:numPr>
        <w:tabs>
          <w:tab w:val="clear" w:pos="720"/>
          <w:tab w:val="num" w:pos="360"/>
        </w:tabs>
        <w:spacing w:before="240"/>
        <w:ind w:left="360" w:right="142"/>
        <w:jc w:val="both"/>
        <w:rPr>
          <w:rFonts w:ascii="Arial" w:hAnsi="Arial" w:cs="Arial"/>
          <w:bCs/>
          <w:spacing w:val="-3"/>
          <w:sz w:val="22"/>
          <w:szCs w:val="22"/>
        </w:rPr>
      </w:pPr>
      <w:r>
        <w:rPr>
          <w:rFonts w:ascii="Arial" w:hAnsi="Arial" w:cs="Arial"/>
          <w:sz w:val="22"/>
          <w:szCs w:val="22"/>
        </w:rPr>
        <w:t>The 2010-11 financial year levy will be recouped over three successive financial years – 2011-12, 2012-13 and 2013-14.</w:t>
      </w:r>
    </w:p>
    <w:p w:rsidR="00364895" w:rsidRPr="00D94958" w:rsidRDefault="00364895" w:rsidP="000C1C7A">
      <w:pPr>
        <w:numPr>
          <w:ilvl w:val="0"/>
          <w:numId w:val="1"/>
        </w:numPr>
        <w:tabs>
          <w:tab w:val="clear" w:pos="720"/>
          <w:tab w:val="num" w:pos="360"/>
        </w:tabs>
        <w:spacing w:before="240"/>
        <w:ind w:left="360" w:right="142"/>
        <w:jc w:val="both"/>
        <w:rPr>
          <w:rFonts w:ascii="Arial" w:hAnsi="Arial" w:cs="Arial"/>
          <w:bCs/>
          <w:spacing w:val="-3"/>
          <w:sz w:val="22"/>
          <w:szCs w:val="22"/>
        </w:rPr>
      </w:pPr>
      <w:r>
        <w:rPr>
          <w:rFonts w:ascii="Arial" w:hAnsi="Arial" w:cs="Arial"/>
          <w:sz w:val="22"/>
          <w:szCs w:val="22"/>
        </w:rPr>
        <w:t>The 2011-12 financial year levy (incorporating one third of the 2010-11 financial year costs) will be raised in June 2012.</w:t>
      </w:r>
    </w:p>
    <w:p w:rsidR="00364895" w:rsidRPr="00D94958" w:rsidRDefault="00364895" w:rsidP="000C1C7A">
      <w:pPr>
        <w:numPr>
          <w:ilvl w:val="0"/>
          <w:numId w:val="1"/>
        </w:numPr>
        <w:tabs>
          <w:tab w:val="clear" w:pos="720"/>
          <w:tab w:val="num" w:pos="360"/>
        </w:tabs>
        <w:spacing w:before="240"/>
        <w:ind w:left="360" w:right="142"/>
        <w:jc w:val="both"/>
        <w:rPr>
          <w:rFonts w:ascii="Arial" w:hAnsi="Arial" w:cs="Arial"/>
          <w:bCs/>
          <w:spacing w:val="-3"/>
          <w:sz w:val="22"/>
          <w:szCs w:val="22"/>
        </w:rPr>
      </w:pPr>
      <w:r>
        <w:rPr>
          <w:rFonts w:ascii="Arial" w:hAnsi="Arial" w:cs="Arial"/>
          <w:sz w:val="22"/>
          <w:szCs w:val="22"/>
        </w:rPr>
        <w:t>The levy will also provide for the recovery of the annual estimated costs of the Commission for the 2012-13 and future financial years.</w:t>
      </w:r>
    </w:p>
    <w:p w:rsidR="00364895" w:rsidRPr="00E8514D" w:rsidRDefault="00364895" w:rsidP="000C1C7A">
      <w:pPr>
        <w:numPr>
          <w:ilvl w:val="0"/>
          <w:numId w:val="1"/>
        </w:numPr>
        <w:tabs>
          <w:tab w:val="clear" w:pos="720"/>
          <w:tab w:val="num" w:pos="360"/>
          <w:tab w:val="num" w:pos="567"/>
        </w:tabs>
        <w:spacing w:before="240"/>
        <w:ind w:left="360" w:right="142"/>
        <w:jc w:val="both"/>
        <w:rPr>
          <w:rFonts w:ascii="Arial" w:hAnsi="Arial" w:cs="Arial"/>
          <w:bCs/>
          <w:spacing w:val="-3"/>
          <w:sz w:val="22"/>
          <w:szCs w:val="22"/>
        </w:rPr>
      </w:pPr>
      <w:r w:rsidRPr="003172E3">
        <w:rPr>
          <w:rFonts w:ascii="Arial" w:hAnsi="Arial" w:cs="Arial"/>
          <w:sz w:val="22"/>
          <w:szCs w:val="22"/>
          <w:u w:val="single"/>
        </w:rPr>
        <w:t xml:space="preserve">Cabinet </w:t>
      </w:r>
      <w:r w:rsidR="00E8514D">
        <w:rPr>
          <w:rFonts w:ascii="Arial" w:hAnsi="Arial" w:cs="Arial"/>
          <w:sz w:val="22"/>
          <w:szCs w:val="22"/>
          <w:u w:val="single"/>
        </w:rPr>
        <w:t>endorsed</w:t>
      </w:r>
      <w:r w:rsidR="00E8514D" w:rsidRPr="00E8514D">
        <w:rPr>
          <w:rFonts w:ascii="Arial" w:hAnsi="Arial" w:cs="Arial"/>
          <w:sz w:val="22"/>
          <w:szCs w:val="22"/>
        </w:rPr>
        <w:t xml:space="preserve"> that the Water Amendment Regulation (No. 1) 2012 be recommended to the Governor in Council for approval</w:t>
      </w:r>
      <w:r w:rsidR="00E8514D">
        <w:rPr>
          <w:rFonts w:ascii="Arial" w:hAnsi="Arial" w:cs="Arial"/>
          <w:sz w:val="22"/>
          <w:szCs w:val="22"/>
        </w:rPr>
        <w:t>.</w:t>
      </w:r>
    </w:p>
    <w:p w:rsidR="00364895" w:rsidRPr="00CE6FBA" w:rsidRDefault="00364895" w:rsidP="000C1C7A">
      <w:pPr>
        <w:spacing w:before="120"/>
        <w:ind w:right="142"/>
        <w:jc w:val="both"/>
        <w:rPr>
          <w:rFonts w:ascii="Arial" w:hAnsi="Arial" w:cs="Arial"/>
          <w:spacing w:val="-3"/>
          <w:sz w:val="22"/>
          <w:szCs w:val="22"/>
        </w:rPr>
      </w:pPr>
    </w:p>
    <w:p w:rsidR="00364895" w:rsidRPr="00D94958" w:rsidRDefault="00364895" w:rsidP="00364895">
      <w:pPr>
        <w:keepNext/>
        <w:numPr>
          <w:ilvl w:val="0"/>
          <w:numId w:val="1"/>
        </w:numPr>
        <w:tabs>
          <w:tab w:val="clear" w:pos="720"/>
          <w:tab w:val="num" w:pos="360"/>
        </w:tabs>
        <w:ind w:left="357" w:right="140" w:hanging="357"/>
        <w:jc w:val="both"/>
        <w:rPr>
          <w:rFonts w:ascii="Arial" w:hAnsi="Arial" w:cs="Arial"/>
          <w:sz w:val="22"/>
          <w:szCs w:val="22"/>
        </w:rPr>
      </w:pPr>
      <w:r w:rsidRPr="00D94958">
        <w:rPr>
          <w:rFonts w:ascii="Arial" w:hAnsi="Arial" w:cs="Arial"/>
          <w:sz w:val="22"/>
          <w:szCs w:val="22"/>
          <w:u w:val="single"/>
        </w:rPr>
        <w:t>Attachments</w:t>
      </w:r>
    </w:p>
    <w:p w:rsidR="00E8514D" w:rsidRDefault="00B973DE" w:rsidP="000C1C7A">
      <w:pPr>
        <w:numPr>
          <w:ilvl w:val="0"/>
          <w:numId w:val="2"/>
        </w:numPr>
        <w:spacing w:before="120"/>
        <w:ind w:left="811" w:right="142"/>
        <w:jc w:val="both"/>
        <w:rPr>
          <w:rFonts w:ascii="Arial" w:hAnsi="Arial" w:cs="Arial"/>
          <w:sz w:val="22"/>
          <w:szCs w:val="22"/>
        </w:rPr>
      </w:pPr>
      <w:hyperlink r:id="rId7" w:history="1">
        <w:r w:rsidR="00E8514D" w:rsidRPr="00F71063">
          <w:rPr>
            <w:rStyle w:val="Hyperlink"/>
            <w:rFonts w:ascii="Arial" w:hAnsi="Arial" w:cs="Arial"/>
            <w:sz w:val="22"/>
            <w:szCs w:val="22"/>
          </w:rPr>
          <w:t>Water Amendment Regulation (No. 1) 2012</w:t>
        </w:r>
      </w:hyperlink>
    </w:p>
    <w:p w:rsidR="00364895" w:rsidRDefault="00B973DE" w:rsidP="000C1C7A">
      <w:pPr>
        <w:numPr>
          <w:ilvl w:val="0"/>
          <w:numId w:val="2"/>
        </w:numPr>
        <w:spacing w:before="120"/>
        <w:ind w:left="811" w:right="142"/>
        <w:jc w:val="both"/>
        <w:rPr>
          <w:rFonts w:ascii="Arial" w:hAnsi="Arial" w:cs="Arial"/>
          <w:sz w:val="22"/>
          <w:szCs w:val="22"/>
        </w:rPr>
      </w:pPr>
      <w:hyperlink r:id="rId8" w:history="1">
        <w:r w:rsidR="00364895" w:rsidRPr="00F71063">
          <w:rPr>
            <w:rStyle w:val="Hyperlink"/>
            <w:rFonts w:ascii="Arial" w:hAnsi="Arial" w:cs="Arial"/>
            <w:sz w:val="22"/>
            <w:szCs w:val="22"/>
          </w:rPr>
          <w:t>Regulatory Assessment Statement</w:t>
        </w:r>
      </w:hyperlink>
    </w:p>
    <w:p w:rsidR="00364895" w:rsidRPr="00C07656" w:rsidRDefault="00B973DE" w:rsidP="000C1C7A">
      <w:pPr>
        <w:numPr>
          <w:ilvl w:val="0"/>
          <w:numId w:val="2"/>
        </w:numPr>
        <w:tabs>
          <w:tab w:val="num" w:pos="280"/>
        </w:tabs>
        <w:spacing w:before="120"/>
        <w:ind w:left="811" w:right="142"/>
        <w:jc w:val="both"/>
        <w:rPr>
          <w:rFonts w:ascii="Arial" w:hAnsi="Arial" w:cs="Arial"/>
          <w:sz w:val="22"/>
          <w:szCs w:val="22"/>
        </w:rPr>
      </w:pPr>
      <w:hyperlink r:id="rId9" w:history="1">
        <w:r w:rsidR="00364895" w:rsidRPr="00F71063">
          <w:rPr>
            <w:rStyle w:val="Hyperlink"/>
            <w:rFonts w:ascii="Arial" w:hAnsi="Arial" w:cs="Arial"/>
            <w:sz w:val="22"/>
            <w:szCs w:val="22"/>
          </w:rPr>
          <w:t>Explanatory Notes</w:t>
        </w:r>
      </w:hyperlink>
    </w:p>
    <w:p w:rsidR="00492BCE" w:rsidRDefault="00492BCE"/>
    <w:sectPr w:rsidR="00492BCE" w:rsidSect="000C1C7A">
      <w:headerReference w:type="default" r:id="rId10"/>
      <w:footerReference w:type="default" r:id="rId11"/>
      <w:headerReference w:type="first" r:id="rId12"/>
      <w:pgSz w:w="11907" w:h="16840" w:code="9"/>
      <w:pgMar w:top="1440" w:right="1134" w:bottom="1440" w:left="1134" w:header="851" w:footer="851"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17D" w:rsidRDefault="00CD217D">
      <w:r>
        <w:separator/>
      </w:r>
    </w:p>
  </w:endnote>
  <w:endnote w:type="continuationSeparator" w:id="0">
    <w:p w:rsidR="00CD217D" w:rsidRDefault="00CD2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4F1" w:rsidRPr="001141E1" w:rsidRDefault="006374F1" w:rsidP="006374F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17D" w:rsidRDefault="00CD217D">
      <w:r>
        <w:separator/>
      </w:r>
    </w:p>
  </w:footnote>
  <w:footnote w:type="continuationSeparator" w:id="0">
    <w:p w:rsidR="00CD217D" w:rsidRDefault="00CD2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4F1" w:rsidRPr="000400F9" w:rsidRDefault="001908AC" w:rsidP="006374F1">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6374F1" w:rsidRPr="000400F9">
      <w:rPr>
        <w:rFonts w:ascii="Arial" w:hAnsi="Arial" w:cs="Arial"/>
        <w:b/>
        <w:sz w:val="22"/>
        <w:szCs w:val="22"/>
        <w:u w:val="single"/>
      </w:rPr>
      <w:t xml:space="preserve">Cabinet – </w:t>
    </w:r>
    <w:r w:rsidR="006374F1">
      <w:rPr>
        <w:rFonts w:ascii="Arial" w:hAnsi="Arial" w:cs="Arial"/>
        <w:b/>
        <w:sz w:val="22"/>
        <w:szCs w:val="22"/>
        <w:u w:val="single"/>
      </w:rPr>
      <w:t>month year</w:t>
    </w:r>
  </w:p>
  <w:p w:rsidR="006374F1" w:rsidRDefault="006374F1" w:rsidP="006374F1">
    <w:pPr>
      <w:pStyle w:val="Header"/>
      <w:spacing w:before="120"/>
      <w:rPr>
        <w:rFonts w:ascii="Arial" w:hAnsi="Arial" w:cs="Arial"/>
        <w:b/>
        <w:sz w:val="22"/>
        <w:szCs w:val="22"/>
        <w:u w:val="single"/>
      </w:rPr>
    </w:pPr>
    <w:r>
      <w:rPr>
        <w:rFonts w:ascii="Arial" w:hAnsi="Arial" w:cs="Arial"/>
        <w:b/>
        <w:sz w:val="22"/>
        <w:szCs w:val="22"/>
        <w:u w:val="single"/>
      </w:rPr>
      <w:t>submission subject</w:t>
    </w:r>
  </w:p>
  <w:p w:rsidR="006374F1" w:rsidRDefault="006374F1" w:rsidP="006374F1">
    <w:pPr>
      <w:pStyle w:val="Header"/>
      <w:spacing w:before="120"/>
      <w:rPr>
        <w:rFonts w:ascii="Arial" w:hAnsi="Arial" w:cs="Arial"/>
        <w:b/>
        <w:sz w:val="22"/>
        <w:szCs w:val="22"/>
        <w:u w:val="single"/>
      </w:rPr>
    </w:pPr>
    <w:r>
      <w:rPr>
        <w:rFonts w:ascii="Arial" w:hAnsi="Arial" w:cs="Arial"/>
        <w:b/>
        <w:sz w:val="22"/>
        <w:szCs w:val="22"/>
        <w:u w:val="single"/>
      </w:rPr>
      <w:t>Minister/s title</w:t>
    </w:r>
  </w:p>
  <w:p w:rsidR="006374F1" w:rsidRPr="00F10DF9" w:rsidRDefault="006374F1" w:rsidP="006374F1">
    <w:pPr>
      <w:pStyle w:val="Header"/>
      <w:pBdr>
        <w:bottom w:val="single" w:sz="8" w:space="1" w:color="auto"/>
      </w:pBdr>
      <w:spacing w:line="180" w:lineRule="exact"/>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C7A" w:rsidRPr="00D75134" w:rsidRDefault="000C1C7A" w:rsidP="000C1C7A">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sidRPr="00D75134">
      <w:rPr>
        <w:rFonts w:ascii="Arial" w:hAnsi="Arial" w:cs="Arial"/>
        <w:b/>
        <w:sz w:val="28"/>
        <w:szCs w:val="22"/>
      </w:rPr>
      <w:t>Queensland Government</w:t>
    </w:r>
  </w:p>
  <w:p w:rsidR="000C1C7A" w:rsidRPr="00D75134" w:rsidRDefault="000C1C7A" w:rsidP="000C1C7A">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0C1C7A" w:rsidRPr="001E209B" w:rsidRDefault="000C1C7A" w:rsidP="000C1C7A">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Pr>
        <w:rFonts w:ascii="Arial" w:hAnsi="Arial" w:cs="Arial"/>
        <w:b/>
        <w:sz w:val="22"/>
        <w:szCs w:val="22"/>
      </w:rPr>
      <w:t>June</w:t>
    </w:r>
    <w:r w:rsidRPr="001E209B">
      <w:rPr>
        <w:rFonts w:ascii="Arial" w:hAnsi="Arial" w:cs="Arial"/>
        <w:b/>
        <w:sz w:val="22"/>
        <w:szCs w:val="22"/>
      </w:rPr>
      <w:t xml:space="preserve"> 2012</w:t>
    </w:r>
  </w:p>
  <w:p w:rsidR="000C1C7A" w:rsidRDefault="000C1C7A" w:rsidP="000C1C7A">
    <w:pPr>
      <w:pStyle w:val="Header"/>
      <w:spacing w:before="120"/>
      <w:rPr>
        <w:rFonts w:ascii="Arial" w:hAnsi="Arial" w:cs="Arial"/>
        <w:b/>
        <w:sz w:val="22"/>
        <w:szCs w:val="22"/>
        <w:u w:val="single"/>
      </w:rPr>
    </w:pPr>
    <w:r>
      <w:rPr>
        <w:rFonts w:ascii="Arial" w:hAnsi="Arial" w:cs="Arial"/>
        <w:b/>
        <w:sz w:val="22"/>
        <w:szCs w:val="22"/>
        <w:u w:val="single"/>
      </w:rPr>
      <w:t>Water Amendment Regulation (No. 1) 2012</w:t>
    </w:r>
  </w:p>
  <w:p w:rsidR="000C1C7A" w:rsidRDefault="000C1C7A" w:rsidP="000C1C7A">
    <w:pPr>
      <w:pStyle w:val="Header"/>
      <w:spacing w:before="120"/>
      <w:rPr>
        <w:rFonts w:ascii="Arial" w:hAnsi="Arial" w:cs="Arial"/>
        <w:b/>
        <w:sz w:val="22"/>
        <w:szCs w:val="22"/>
        <w:u w:val="single"/>
      </w:rPr>
    </w:pPr>
    <w:r>
      <w:rPr>
        <w:rFonts w:ascii="Arial" w:hAnsi="Arial" w:cs="Arial"/>
        <w:b/>
        <w:sz w:val="22"/>
        <w:szCs w:val="22"/>
        <w:u w:val="single"/>
      </w:rPr>
      <w:t>Minister for Energy and Water Supply</w:t>
    </w:r>
  </w:p>
  <w:p w:rsidR="000C1C7A" w:rsidRDefault="000C1C7A" w:rsidP="000C1C7A">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974900"/>
    <w:multiLevelType w:val="hybridMultilevel"/>
    <w:tmpl w:val="835E42DC"/>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895"/>
    <w:rsid w:val="00041217"/>
    <w:rsid w:val="000613F3"/>
    <w:rsid w:val="0008225F"/>
    <w:rsid w:val="0008692C"/>
    <w:rsid w:val="000B7444"/>
    <w:rsid w:val="000C1C7A"/>
    <w:rsid w:val="000D266C"/>
    <w:rsid w:val="000E2B1C"/>
    <w:rsid w:val="00116E59"/>
    <w:rsid w:val="00146DFB"/>
    <w:rsid w:val="00157E5B"/>
    <w:rsid w:val="001908AC"/>
    <w:rsid w:val="001B7D9E"/>
    <w:rsid w:val="001E32F3"/>
    <w:rsid w:val="00202657"/>
    <w:rsid w:val="002149CD"/>
    <w:rsid w:val="002246B4"/>
    <w:rsid w:val="002446AE"/>
    <w:rsid w:val="00245846"/>
    <w:rsid w:val="00275497"/>
    <w:rsid w:val="00277525"/>
    <w:rsid w:val="0028134D"/>
    <w:rsid w:val="002C509C"/>
    <w:rsid w:val="003538EF"/>
    <w:rsid w:val="0036120E"/>
    <w:rsid w:val="00362E0E"/>
    <w:rsid w:val="00364895"/>
    <w:rsid w:val="003B72E1"/>
    <w:rsid w:val="004145E8"/>
    <w:rsid w:val="00434A6B"/>
    <w:rsid w:val="00445910"/>
    <w:rsid w:val="00452B3F"/>
    <w:rsid w:val="00476E39"/>
    <w:rsid w:val="00483BF7"/>
    <w:rsid w:val="00492BCE"/>
    <w:rsid w:val="004A5610"/>
    <w:rsid w:val="004D103E"/>
    <w:rsid w:val="004E4CF2"/>
    <w:rsid w:val="005F4135"/>
    <w:rsid w:val="00612E00"/>
    <w:rsid w:val="006374F1"/>
    <w:rsid w:val="006452EA"/>
    <w:rsid w:val="00680F82"/>
    <w:rsid w:val="006D2504"/>
    <w:rsid w:val="006D44B3"/>
    <w:rsid w:val="006F7B71"/>
    <w:rsid w:val="0070646F"/>
    <w:rsid w:val="00731C85"/>
    <w:rsid w:val="007918F0"/>
    <w:rsid w:val="007C524B"/>
    <w:rsid w:val="007D230E"/>
    <w:rsid w:val="007E3C4D"/>
    <w:rsid w:val="007F0FD2"/>
    <w:rsid w:val="0083380F"/>
    <w:rsid w:val="008A0D6A"/>
    <w:rsid w:val="008A7368"/>
    <w:rsid w:val="008D4064"/>
    <w:rsid w:val="008E0E9A"/>
    <w:rsid w:val="008F04D6"/>
    <w:rsid w:val="0090218E"/>
    <w:rsid w:val="00951DBB"/>
    <w:rsid w:val="009E795A"/>
    <w:rsid w:val="00A65338"/>
    <w:rsid w:val="00B4588E"/>
    <w:rsid w:val="00B604F4"/>
    <w:rsid w:val="00B721AD"/>
    <w:rsid w:val="00B973DE"/>
    <w:rsid w:val="00BB7BC8"/>
    <w:rsid w:val="00CD217D"/>
    <w:rsid w:val="00CD32D7"/>
    <w:rsid w:val="00D229D2"/>
    <w:rsid w:val="00D97786"/>
    <w:rsid w:val="00DB1A3B"/>
    <w:rsid w:val="00DD7388"/>
    <w:rsid w:val="00E379A2"/>
    <w:rsid w:val="00E430C3"/>
    <w:rsid w:val="00E8514D"/>
    <w:rsid w:val="00E940A0"/>
    <w:rsid w:val="00E94A2F"/>
    <w:rsid w:val="00ED5F67"/>
    <w:rsid w:val="00EF1F9D"/>
    <w:rsid w:val="00EF39A8"/>
    <w:rsid w:val="00F250D1"/>
    <w:rsid w:val="00F44271"/>
    <w:rsid w:val="00F71063"/>
    <w:rsid w:val="00F8513C"/>
    <w:rsid w:val="00FA29E8"/>
    <w:rsid w:val="00FF69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895"/>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64895"/>
    <w:pPr>
      <w:tabs>
        <w:tab w:val="center" w:pos="4153"/>
        <w:tab w:val="right" w:pos="8306"/>
      </w:tabs>
    </w:pPr>
    <w:rPr>
      <w:color w:val="auto"/>
    </w:rPr>
  </w:style>
  <w:style w:type="paragraph" w:styleId="Footer">
    <w:name w:val="footer"/>
    <w:basedOn w:val="Normal"/>
    <w:rsid w:val="00364895"/>
    <w:pPr>
      <w:tabs>
        <w:tab w:val="center" w:pos="4153"/>
        <w:tab w:val="right" w:pos="8306"/>
      </w:tabs>
    </w:pPr>
  </w:style>
  <w:style w:type="character" w:customStyle="1" w:styleId="HeaderChar">
    <w:name w:val="Header Char"/>
    <w:basedOn w:val="DefaultParagraphFont"/>
    <w:link w:val="Header"/>
    <w:uiPriority w:val="99"/>
    <w:rsid w:val="000C1C7A"/>
    <w:rPr>
      <w:sz w:val="24"/>
    </w:rPr>
  </w:style>
  <w:style w:type="character" w:styleId="Hyperlink">
    <w:name w:val="Hyperlink"/>
    <w:basedOn w:val="DefaultParagraphFont"/>
    <w:rsid w:val="00F710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Water%20Amendment%20Regulation%20(No.%201)%202012%20RA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ttachments/Water%20Amendment%20Regulation%20(No.%201)%202012.pd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ttachments/Water%20Amendment%20Regulation%20(No.%201)%202012%20Ex%20Note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1055</Characters>
  <Application>Microsoft Office Word</Application>
  <DocSecurity>0</DocSecurity>
  <Lines>22</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1243</CharactersWithSpaces>
  <SharedDoc>false</SharedDoc>
  <HyperlinkBase>https://www.cabinet.qld.gov.au/documents/2012/Jun/Water Amendment Regulation (No. 1) 2012/</HyperlinkBase>
  <HLinks>
    <vt:vector size="18" baseType="variant">
      <vt:variant>
        <vt:i4>5963794</vt:i4>
      </vt:variant>
      <vt:variant>
        <vt:i4>6</vt:i4>
      </vt:variant>
      <vt:variant>
        <vt:i4>0</vt:i4>
      </vt:variant>
      <vt:variant>
        <vt:i4>5</vt:i4>
      </vt:variant>
      <vt:variant>
        <vt:lpwstr>attachments/Water Amendment Regulation (No. 1) 2012 Ex Notes.pdf</vt:lpwstr>
      </vt:variant>
      <vt:variant>
        <vt:lpwstr/>
      </vt:variant>
      <vt:variant>
        <vt:i4>7798886</vt:i4>
      </vt:variant>
      <vt:variant>
        <vt:i4>3</vt:i4>
      </vt:variant>
      <vt:variant>
        <vt:i4>0</vt:i4>
      </vt:variant>
      <vt:variant>
        <vt:i4>5</vt:i4>
      </vt:variant>
      <vt:variant>
        <vt:lpwstr>attachments/Water Amendment Regulation (No. 1) 2012 RAS.pdf</vt:lpwstr>
      </vt:variant>
      <vt:variant>
        <vt:lpwstr/>
      </vt:variant>
      <vt:variant>
        <vt:i4>3539047</vt:i4>
      </vt:variant>
      <vt:variant>
        <vt:i4>0</vt:i4>
      </vt:variant>
      <vt:variant>
        <vt:i4>0</vt:i4>
      </vt:variant>
      <vt:variant>
        <vt:i4>5</vt:i4>
      </vt:variant>
      <vt:variant>
        <vt:lpwstr>attachments/Water Amendment Regulation (No. 1) 2012.pdf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2012-08-17T01:43:00Z</cp:lastPrinted>
  <dcterms:created xsi:type="dcterms:W3CDTF">2017-10-24T23:19:00Z</dcterms:created>
  <dcterms:modified xsi:type="dcterms:W3CDTF">2018-03-06T01:13:00Z</dcterms:modified>
  <cp:category>Water,Legislation</cp:category>
</cp:coreProperties>
</file>